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223" w:rsidRDefault="00044223" w:rsidP="00044223">
      <w:pPr>
        <w:spacing w:before="0" w:after="0" w:line="360" w:lineRule="auto"/>
        <w:jc w:val="center"/>
        <w:rPr>
          <w:rFonts w:ascii="Book Antiqua" w:hAnsi="Book Antiqua"/>
          <w:sz w:val="22"/>
          <w:szCs w:val="22"/>
          <w:lang w:val="el-GR"/>
        </w:rPr>
      </w:pPr>
      <w:r>
        <w:rPr>
          <w:rFonts w:ascii="Book Antiqua" w:hAnsi="Book Antiqua"/>
          <w:sz w:val="22"/>
          <w:szCs w:val="22"/>
          <w:lang w:val="el-GR"/>
        </w:rPr>
        <w:t xml:space="preserve">ΟΡΟΙ ΧΟΡΗΓΗΣΗΣ ΑΔΕΙΩΝ ΜΗ ΕΜΠΟΡΙΚΗΣ ΧΡΗΣΗΣ </w:t>
      </w:r>
    </w:p>
    <w:p w:rsidR="00044223" w:rsidRDefault="00044223" w:rsidP="00044223">
      <w:pPr>
        <w:spacing w:before="0" w:after="0" w:line="360" w:lineRule="auto"/>
        <w:jc w:val="center"/>
        <w:rPr>
          <w:rFonts w:ascii="Book Antiqua" w:hAnsi="Book Antiqua"/>
          <w:sz w:val="22"/>
          <w:szCs w:val="22"/>
          <w:lang w:val="el-GR"/>
        </w:rPr>
      </w:pPr>
      <w:r>
        <w:rPr>
          <w:rFonts w:ascii="Book Antiqua" w:hAnsi="Book Antiqua"/>
          <w:sz w:val="22"/>
          <w:szCs w:val="22"/>
          <w:lang w:val="el-GR"/>
        </w:rPr>
        <w:t>ΒΑΣΕΙ ΤΗΣ ΑΠΟΦΑΣΗΣ ΤΗΣ ΑΠΟ 23/11/2017 ΕΚΤΑΚΤΗΣ ΓΕΝΙΚΗΣ ΣΥΝΕΛΕΥΣΗΣ</w:t>
      </w:r>
    </w:p>
    <w:p w:rsidR="00044223" w:rsidRDefault="00044223" w:rsidP="00044223">
      <w:pPr>
        <w:spacing w:before="0" w:after="0" w:line="360" w:lineRule="auto"/>
        <w:jc w:val="center"/>
        <w:rPr>
          <w:rFonts w:ascii="Book Antiqua" w:hAnsi="Book Antiqua"/>
          <w:sz w:val="22"/>
          <w:szCs w:val="22"/>
          <w:lang w:val="el-GR"/>
        </w:rPr>
      </w:pPr>
      <w:bookmarkStart w:id="0" w:name="_GoBack"/>
      <w:bookmarkEnd w:id="0"/>
    </w:p>
    <w:p w:rsidR="00044223" w:rsidRPr="00A1798F" w:rsidRDefault="00044223" w:rsidP="00044223">
      <w:pPr>
        <w:spacing w:before="0" w:after="0" w:line="360" w:lineRule="auto"/>
        <w:rPr>
          <w:rFonts w:ascii="Book Antiqua" w:hAnsi="Book Antiqua"/>
          <w:sz w:val="22"/>
          <w:szCs w:val="22"/>
          <w:lang w:val="el-GR"/>
        </w:rPr>
      </w:pPr>
      <w:r w:rsidRPr="00A1798F">
        <w:rPr>
          <w:rFonts w:ascii="Book Antiqua" w:hAnsi="Book Antiqua"/>
          <w:sz w:val="22"/>
          <w:szCs w:val="22"/>
          <w:lang w:val="el-GR"/>
        </w:rPr>
        <w:t>«</w:t>
      </w:r>
      <w:r w:rsidRPr="00A1798F">
        <w:rPr>
          <w:rFonts w:ascii="Book Antiqua" w:hAnsi="Book Antiqua"/>
          <w:i/>
          <w:sz w:val="22"/>
          <w:szCs w:val="22"/>
          <w:lang w:val="el-GR"/>
        </w:rPr>
        <w:t>Τα μέλη του Οργανισμού μπορούν να παραχωρούν άδειες μη εμπορικής χρήσης έως δύο (2) παραγωγών τους ετησίως, οφείλουν δε να ενημερώνουν σχετικά τον Οργανισμό. Οι παραγωγές αυτές σε κάθε περίπτωση δεν θα πρέπει να ξεπερνούν το 10% των συνολικών παραγωγών του μέλους εκείνο το έτος</w:t>
      </w:r>
      <w:r w:rsidRPr="00A1798F">
        <w:rPr>
          <w:rFonts w:ascii="Book Antiqua" w:hAnsi="Book Antiqua"/>
          <w:sz w:val="22"/>
          <w:szCs w:val="22"/>
          <w:lang w:val="el-GR"/>
        </w:rPr>
        <w:t>».</w:t>
      </w:r>
    </w:p>
    <w:p w:rsidR="007A0AD7" w:rsidRPr="00044223" w:rsidRDefault="007A0AD7">
      <w:pPr>
        <w:rPr>
          <w:lang w:val="el-GR"/>
        </w:rPr>
      </w:pPr>
    </w:p>
    <w:sectPr w:rsidR="007A0AD7" w:rsidRPr="000442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223"/>
    <w:rsid w:val="00044223"/>
    <w:rsid w:val="007A0A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66D0F-DBDF-4E51-BB9D-88440011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223"/>
    <w:pPr>
      <w:spacing w:before="60" w:after="60" w:line="312" w:lineRule="auto"/>
      <w:jc w:val="both"/>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2017-12-14T10:24:00Z</dcterms:created>
  <dcterms:modified xsi:type="dcterms:W3CDTF">2017-12-14T10:26:00Z</dcterms:modified>
</cp:coreProperties>
</file>